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A30" w:rsidRPr="007E7A30" w:rsidRDefault="007E7A30" w:rsidP="007E7A30">
      <w:pPr>
        <w:pStyle w:val="CommentText"/>
        <w:jc w:val="center"/>
        <w:rPr>
          <w:rFonts w:ascii="Garamond" w:hAnsi="Garamond" w:cs="Times New Roman"/>
          <w:b/>
          <w:sz w:val="40"/>
          <w:szCs w:val="40"/>
          <w:lang w:val="fr-CI"/>
        </w:rPr>
      </w:pPr>
      <w:r w:rsidRPr="007E7A30">
        <w:rPr>
          <w:rFonts w:ascii="Garamond" w:hAnsi="Garamond" w:cs="Times New Roman"/>
          <w:b/>
          <w:sz w:val="40"/>
          <w:szCs w:val="40"/>
          <w:lang w:val="fr-CI"/>
        </w:rPr>
        <w:t>Amélioration du disponible fourrager par différents modes de cultures de sorgho et de niébé à double objectif</w:t>
      </w:r>
    </w:p>
    <w:p w:rsidR="007E7A30" w:rsidRPr="007E7A30" w:rsidRDefault="007E7A30" w:rsidP="007E7A30">
      <w:pPr>
        <w:spacing w:after="0" w:line="240" w:lineRule="auto"/>
        <w:rPr>
          <w:rFonts w:ascii="Garamond" w:hAnsi="Garamond" w:cs="Times New Roman"/>
          <w:b/>
          <w:sz w:val="24"/>
          <w:szCs w:val="24"/>
          <w:lang w:val="fr-CI"/>
        </w:rPr>
      </w:pPr>
      <w:r w:rsidRPr="007E7A30">
        <w:rPr>
          <w:rFonts w:ascii="Garamond" w:hAnsi="Garamond" w:cs="Times New Roman"/>
          <w:b/>
          <w:sz w:val="24"/>
          <w:szCs w:val="24"/>
          <w:lang w:val="fr-CI"/>
        </w:rPr>
        <w:t>Arlette TOE</w:t>
      </w:r>
      <w:r w:rsidRPr="007E7A30">
        <w:rPr>
          <w:rFonts w:ascii="Garamond" w:hAnsi="Garamond" w:cs="Times New Roman"/>
          <w:b/>
          <w:sz w:val="24"/>
          <w:szCs w:val="24"/>
          <w:vertAlign w:val="superscript"/>
          <w:lang w:val="fr-CI"/>
        </w:rPr>
        <w:t>1</w:t>
      </w:r>
      <w:r w:rsidRPr="007E7A30">
        <w:rPr>
          <w:rFonts w:ascii="Garamond" w:hAnsi="Garamond" w:cs="Times New Roman"/>
          <w:b/>
          <w:sz w:val="24"/>
          <w:szCs w:val="24"/>
          <w:lang w:val="fr-CI"/>
        </w:rPr>
        <w:t>, Hadja Oumou SANON</w:t>
      </w:r>
      <w:r w:rsidRPr="007E7A30">
        <w:rPr>
          <w:rFonts w:ascii="Garamond" w:hAnsi="Garamond" w:cs="Times New Roman"/>
          <w:b/>
          <w:sz w:val="24"/>
          <w:szCs w:val="24"/>
          <w:vertAlign w:val="superscript"/>
          <w:lang w:val="fr-CI"/>
        </w:rPr>
        <w:t>2</w:t>
      </w:r>
      <w:r w:rsidRPr="007E7A30">
        <w:rPr>
          <w:rFonts w:ascii="Garamond" w:hAnsi="Garamond" w:cs="Times New Roman"/>
          <w:b/>
          <w:sz w:val="24"/>
          <w:szCs w:val="24"/>
          <w:lang w:val="fr-CI"/>
        </w:rPr>
        <w:t>, Ferdinand OBULBIGA</w:t>
      </w:r>
      <w:r w:rsidRPr="007E7A30">
        <w:rPr>
          <w:rFonts w:ascii="Garamond" w:hAnsi="Garamond" w:cs="Times New Roman"/>
          <w:b/>
          <w:sz w:val="24"/>
          <w:szCs w:val="24"/>
          <w:vertAlign w:val="superscript"/>
          <w:lang w:val="fr-CI"/>
        </w:rPr>
        <w:t>2</w:t>
      </w:r>
      <w:r w:rsidRPr="007E7A30">
        <w:rPr>
          <w:rFonts w:ascii="Garamond" w:hAnsi="Garamond" w:cs="Times New Roman"/>
          <w:b/>
          <w:sz w:val="24"/>
          <w:szCs w:val="24"/>
          <w:lang w:val="fr-CI"/>
        </w:rPr>
        <w:t xml:space="preserve"> et Valérie Marie Christiane BOUGOUMA</w:t>
      </w:r>
      <w:r w:rsidRPr="007E7A30">
        <w:rPr>
          <w:rFonts w:ascii="Garamond" w:hAnsi="Garamond" w:cs="Times New Roman"/>
          <w:b/>
          <w:sz w:val="24"/>
          <w:szCs w:val="24"/>
          <w:vertAlign w:val="superscript"/>
          <w:lang w:val="fr-CI"/>
        </w:rPr>
        <w:t>1</w:t>
      </w:r>
    </w:p>
    <w:p w:rsidR="007E7A30" w:rsidRPr="007E7A30" w:rsidRDefault="007E7A30" w:rsidP="007E7A30">
      <w:pPr>
        <w:spacing w:after="0" w:line="240" w:lineRule="auto"/>
        <w:jc w:val="both"/>
        <w:rPr>
          <w:rFonts w:ascii="Garamond" w:hAnsi="Garamond" w:cs="Times New Roman"/>
          <w:bCs/>
          <w:i/>
          <w:iCs/>
          <w:sz w:val="24"/>
          <w:szCs w:val="24"/>
          <w:lang w:val="fr-CI"/>
        </w:rPr>
      </w:pPr>
      <w:r w:rsidRPr="007E7A30">
        <w:rPr>
          <w:rFonts w:ascii="Garamond" w:hAnsi="Garamond" w:cs="Times New Roman"/>
          <w:bCs/>
          <w:i/>
          <w:sz w:val="24"/>
          <w:szCs w:val="24"/>
          <w:vertAlign w:val="superscript"/>
          <w:lang w:val="fr-CI"/>
        </w:rPr>
        <w:t>1</w:t>
      </w:r>
      <w:r w:rsidRPr="007E7A30">
        <w:rPr>
          <w:rFonts w:ascii="Garamond" w:hAnsi="Garamond" w:cs="Times New Roman"/>
          <w:bCs/>
          <w:i/>
          <w:sz w:val="24"/>
          <w:szCs w:val="24"/>
          <w:lang w:val="fr-CI"/>
        </w:rPr>
        <w:t xml:space="preserve"> Institut du Développement Rural, Université</w:t>
      </w:r>
      <w:r w:rsidRPr="007E7A30">
        <w:rPr>
          <w:rFonts w:ascii="Garamond" w:hAnsi="Garamond" w:cs="Times New Roman"/>
          <w:bCs/>
          <w:sz w:val="24"/>
          <w:szCs w:val="24"/>
          <w:lang w:val="fr-CI"/>
        </w:rPr>
        <w:t xml:space="preserve"> </w:t>
      </w:r>
      <w:r w:rsidRPr="007E7A30">
        <w:rPr>
          <w:rFonts w:ascii="Garamond" w:hAnsi="Garamond" w:cs="Times New Roman"/>
          <w:bCs/>
          <w:i/>
          <w:sz w:val="24"/>
          <w:szCs w:val="24"/>
          <w:lang w:val="fr-CI"/>
        </w:rPr>
        <w:t xml:space="preserve">Nazi Boni (UNB), Bobo-Dioulasso, </w:t>
      </w:r>
      <w:r w:rsidRPr="007E7A30">
        <w:rPr>
          <w:rFonts w:ascii="Garamond" w:hAnsi="Garamond" w:cs="Times New Roman"/>
          <w:bCs/>
          <w:i/>
          <w:iCs/>
          <w:sz w:val="24"/>
          <w:szCs w:val="24"/>
          <w:lang w:val="fr-CI"/>
        </w:rPr>
        <w:t>01 B.P. 1091 Bobo-Dioulasso, Burkina Faso.</w:t>
      </w:r>
    </w:p>
    <w:p w:rsidR="007E7A30" w:rsidRPr="007E7A30" w:rsidRDefault="007E7A30" w:rsidP="007E7A30">
      <w:pPr>
        <w:spacing w:after="0" w:line="240" w:lineRule="auto"/>
        <w:jc w:val="both"/>
        <w:rPr>
          <w:rFonts w:ascii="Garamond" w:hAnsi="Garamond" w:cs="Times New Roman"/>
          <w:bCs/>
          <w:i/>
          <w:iCs/>
          <w:sz w:val="24"/>
          <w:szCs w:val="24"/>
          <w:lang w:val="fr-CI"/>
        </w:rPr>
      </w:pPr>
      <w:r w:rsidRPr="007E7A30">
        <w:rPr>
          <w:rFonts w:ascii="Garamond" w:hAnsi="Garamond" w:cs="Times New Roman"/>
          <w:bCs/>
          <w:i/>
          <w:iCs/>
          <w:sz w:val="24"/>
          <w:szCs w:val="24"/>
          <w:vertAlign w:val="superscript"/>
          <w:lang w:val="fr-CI"/>
        </w:rPr>
        <w:t>2</w:t>
      </w:r>
      <w:r w:rsidRPr="007E7A30">
        <w:rPr>
          <w:rFonts w:ascii="Garamond" w:hAnsi="Garamond" w:cs="Times New Roman"/>
          <w:bCs/>
          <w:i/>
          <w:iCs/>
          <w:sz w:val="24"/>
          <w:szCs w:val="24"/>
          <w:lang w:val="fr-CI"/>
        </w:rPr>
        <w:t xml:space="preserve"> Institut de l’Environnement et de Recherche Agricole (INERA), Centre de Recherches Environnementales Agricoles et de Formation (CREAF) de Kamboinsé, 01 B.P. 476 Ouagadougou, Burkina Faso</w:t>
      </w:r>
    </w:p>
    <w:p w:rsidR="007E7A30" w:rsidRPr="007E7A30" w:rsidRDefault="007E7A30" w:rsidP="007E7A30">
      <w:pPr>
        <w:spacing w:after="0" w:line="240" w:lineRule="auto"/>
        <w:jc w:val="both"/>
        <w:rPr>
          <w:rStyle w:val="Hyperlink"/>
          <w:rFonts w:ascii="Garamond" w:hAnsi="Garamond" w:cs="Times New Roman"/>
          <w:bCs/>
          <w:i/>
          <w:sz w:val="24"/>
          <w:szCs w:val="24"/>
          <w:lang w:val="fr-CI"/>
        </w:rPr>
      </w:pPr>
      <w:r w:rsidRPr="007E7A30">
        <w:rPr>
          <w:rFonts w:ascii="Garamond" w:hAnsi="Garamond" w:cs="Times New Roman"/>
          <w:bCs/>
          <w:i/>
          <w:iCs/>
          <w:sz w:val="24"/>
          <w:szCs w:val="24"/>
          <w:lang w:val="fr-CI"/>
        </w:rPr>
        <w:t>Auteur correspondance :</w:t>
      </w:r>
      <w:r w:rsidRPr="007E7A30">
        <w:rPr>
          <w:rFonts w:ascii="Garamond" w:hAnsi="Garamond" w:cs="Times New Roman"/>
          <w:bCs/>
          <w:sz w:val="24"/>
          <w:szCs w:val="24"/>
          <w:lang w:val="fr-CI"/>
        </w:rPr>
        <w:t xml:space="preserve"> </w:t>
      </w:r>
      <w:hyperlink r:id="rId6" w:history="1">
        <w:r w:rsidRPr="007E7A30">
          <w:rPr>
            <w:rStyle w:val="Hyperlink"/>
            <w:rFonts w:ascii="Garamond" w:hAnsi="Garamond" w:cs="Times New Roman"/>
            <w:bCs/>
            <w:i/>
            <w:sz w:val="24"/>
            <w:szCs w:val="24"/>
            <w:lang w:val="fr-CI"/>
          </w:rPr>
          <w:t>arlettetoe93@gmail.com</w:t>
        </w:r>
      </w:hyperlink>
    </w:p>
    <w:p w:rsidR="007E7A30" w:rsidRPr="007E7A30" w:rsidRDefault="007E7A30" w:rsidP="007E7A30">
      <w:pPr>
        <w:spacing w:after="0" w:line="240" w:lineRule="auto"/>
        <w:rPr>
          <w:rStyle w:val="Hyperlink"/>
          <w:rFonts w:ascii="Garamond" w:hAnsi="Garamond" w:cs="Times New Roman"/>
          <w:bCs/>
          <w:i/>
          <w:sz w:val="24"/>
          <w:szCs w:val="24"/>
          <w:lang w:val="fr-CI"/>
        </w:rPr>
      </w:pPr>
    </w:p>
    <w:p w:rsidR="007E7A30" w:rsidRPr="007E7A30" w:rsidRDefault="007E7A30" w:rsidP="007E7A30">
      <w:pPr>
        <w:spacing w:after="0" w:line="240" w:lineRule="auto"/>
        <w:jc w:val="both"/>
        <w:rPr>
          <w:rFonts w:ascii="Garamond" w:hAnsi="Garamond" w:cs="Times New Roman"/>
          <w:sz w:val="24"/>
          <w:szCs w:val="24"/>
          <w:lang w:val="fr-CI"/>
        </w:rPr>
      </w:pPr>
      <w:r w:rsidRPr="007E7A30">
        <w:rPr>
          <w:rFonts w:ascii="Garamond" w:hAnsi="Garamond" w:cs="Times New Roman"/>
          <w:b/>
          <w:bCs/>
          <w:sz w:val="24"/>
          <w:szCs w:val="24"/>
          <w:lang w:val="fr-CI"/>
        </w:rPr>
        <w:t>Mots clés</w:t>
      </w:r>
      <w:r w:rsidRPr="007E7A30">
        <w:rPr>
          <w:rFonts w:ascii="Garamond" w:hAnsi="Garamond" w:cs="Times New Roman"/>
          <w:sz w:val="24"/>
          <w:szCs w:val="24"/>
          <w:lang w:val="fr-CI"/>
        </w:rPr>
        <w:t xml:space="preserve"> : Sorgho, niébé, variété à double objectif, association des cultures </w:t>
      </w:r>
    </w:p>
    <w:p w:rsidR="007E7A30" w:rsidRPr="007E7A30" w:rsidRDefault="007E7A30" w:rsidP="007E7A30">
      <w:pPr>
        <w:spacing w:after="0" w:line="240" w:lineRule="auto"/>
        <w:jc w:val="both"/>
        <w:rPr>
          <w:rFonts w:ascii="Garamond" w:hAnsi="Garamond" w:cs="Times New Roman"/>
          <w:b/>
          <w:sz w:val="24"/>
          <w:szCs w:val="24"/>
          <w:u w:val="single"/>
          <w:lang w:val="en-US"/>
        </w:rPr>
      </w:pPr>
      <w:r w:rsidRPr="007E7A30">
        <w:rPr>
          <w:rFonts w:ascii="Garamond" w:hAnsi="Garamond" w:cs="Times New Roman"/>
          <w:b/>
          <w:sz w:val="24"/>
          <w:szCs w:val="24"/>
          <w:lang w:val="en-US"/>
        </w:rPr>
        <w:t>Keywords:</w:t>
      </w:r>
      <w:r w:rsidRPr="007E7A30">
        <w:rPr>
          <w:rFonts w:ascii="Garamond" w:hAnsi="Garamond" w:cs="Times New Roman"/>
          <w:sz w:val="24"/>
          <w:szCs w:val="24"/>
          <w:lang w:val="en-US"/>
        </w:rPr>
        <w:t xml:space="preserve"> Sorghum, Cowpea, Dual-purpose variety, Crops association</w:t>
      </w:r>
    </w:p>
    <w:p w:rsidR="007E7A30" w:rsidRPr="003F4F1B" w:rsidRDefault="007E7A30" w:rsidP="007E7A30">
      <w:pPr>
        <w:spacing w:after="0" w:line="240" w:lineRule="auto"/>
        <w:jc w:val="center"/>
        <w:rPr>
          <w:rFonts w:ascii="Garamond" w:eastAsia="Calibri" w:hAnsi="Garamond" w:cs="Times New Roman"/>
          <w:b/>
          <w:bCs/>
          <w:sz w:val="24"/>
          <w:szCs w:val="24"/>
          <w:lang w:val="en-US"/>
        </w:rPr>
      </w:pPr>
    </w:p>
    <w:p w:rsidR="007E7A30" w:rsidRPr="007E7A30" w:rsidRDefault="007E7A30" w:rsidP="007E7A30">
      <w:pPr>
        <w:pBdr>
          <w:bottom w:val="single" w:sz="4" w:space="1" w:color="auto"/>
        </w:pBdr>
        <w:spacing w:after="0" w:line="240" w:lineRule="auto"/>
        <w:rPr>
          <w:rFonts w:ascii="Garamond" w:hAnsi="Garamond" w:cs="Times New Roman"/>
          <w:bCs/>
          <w:sz w:val="24"/>
          <w:szCs w:val="24"/>
          <w:lang w:val="fr-CI"/>
        </w:rPr>
      </w:pPr>
      <w:r w:rsidRPr="007E7A30">
        <w:rPr>
          <w:rFonts w:ascii="Garamond" w:eastAsia="Calibri" w:hAnsi="Garamond" w:cs="Times New Roman"/>
          <w:b/>
          <w:bCs/>
          <w:i/>
          <w:iCs/>
          <w:lang w:val="fr-FR" w:eastAsia="en-ZA"/>
        </w:rPr>
        <w:t xml:space="preserve">Submission 19/08/2022, Publication date 31/10/2022, </w:t>
      </w:r>
      <w:hyperlink r:id="rId7" w:history="1">
        <w:r w:rsidRPr="007E7A30">
          <w:rPr>
            <w:rFonts w:ascii="Garamond" w:eastAsia="Calibri" w:hAnsi="Garamond" w:cs="Times New Roman"/>
            <w:b/>
            <w:bCs/>
            <w:i/>
            <w:iCs/>
            <w:color w:val="0563C1"/>
            <w:u w:val="single"/>
            <w:lang w:val="fr-FR" w:eastAsia="en-ZA"/>
          </w:rPr>
          <w:t>http://m.elewa.org/Journals/about-japs/</w:t>
        </w:r>
      </w:hyperlink>
    </w:p>
    <w:p w:rsidR="007E7A30" w:rsidRPr="007E7A30" w:rsidRDefault="007E7A30" w:rsidP="007E7A30">
      <w:pPr>
        <w:spacing w:after="0" w:line="240" w:lineRule="auto"/>
        <w:rPr>
          <w:rFonts w:ascii="Garamond" w:hAnsi="Garamond" w:cs="Times New Roman"/>
          <w:b/>
          <w:sz w:val="24"/>
          <w:szCs w:val="24"/>
          <w:lang w:val="fr-CI"/>
        </w:rPr>
      </w:pPr>
    </w:p>
    <w:p w:rsidR="007E7A30" w:rsidRPr="007E7A30" w:rsidRDefault="007E7A30" w:rsidP="007E7A30">
      <w:pPr>
        <w:pBdr>
          <w:bottom w:val="single" w:sz="4" w:space="1" w:color="auto"/>
        </w:pBdr>
        <w:spacing w:after="0" w:line="240" w:lineRule="auto"/>
        <w:rPr>
          <w:rFonts w:ascii="Garamond" w:hAnsi="Garamond" w:cs="Times New Roman"/>
          <w:b/>
          <w:sz w:val="24"/>
          <w:szCs w:val="24"/>
          <w:lang w:val="fr-CI"/>
        </w:rPr>
      </w:pPr>
      <w:r w:rsidRPr="007E7A30">
        <w:rPr>
          <w:rFonts w:ascii="Garamond" w:hAnsi="Garamond" w:cs="Times New Roman"/>
          <w:b/>
          <w:sz w:val="24"/>
          <w:szCs w:val="24"/>
          <w:lang w:val="fr-CI"/>
        </w:rPr>
        <w:t>1</w:t>
      </w:r>
      <w:r w:rsidRPr="007E7A30">
        <w:rPr>
          <w:rFonts w:ascii="Garamond" w:hAnsi="Garamond" w:cs="Times New Roman"/>
          <w:b/>
          <w:sz w:val="24"/>
          <w:szCs w:val="24"/>
          <w:lang w:val="fr-CI"/>
        </w:rPr>
        <w:tab/>
        <w:t>RESUME</w:t>
      </w:r>
    </w:p>
    <w:p w:rsidR="007E7A30" w:rsidRPr="007E7A30" w:rsidRDefault="007E7A30" w:rsidP="007E7A30">
      <w:pPr>
        <w:pBdr>
          <w:bottom w:val="single" w:sz="4" w:space="1" w:color="auto"/>
        </w:pBdr>
        <w:autoSpaceDE w:val="0"/>
        <w:autoSpaceDN w:val="0"/>
        <w:adjustRightInd w:val="0"/>
        <w:spacing w:after="0" w:line="240" w:lineRule="auto"/>
        <w:jc w:val="both"/>
        <w:rPr>
          <w:rFonts w:ascii="Garamond" w:hAnsi="Garamond" w:cs="Times New Roman"/>
          <w:b/>
          <w:sz w:val="24"/>
          <w:szCs w:val="24"/>
          <w:lang w:val="fr-CI"/>
        </w:rPr>
      </w:pPr>
      <w:r w:rsidRPr="007E7A30">
        <w:rPr>
          <w:rFonts w:ascii="Garamond" w:hAnsi="Garamond" w:cs="Times New Roman"/>
          <w:b/>
          <w:sz w:val="24"/>
          <w:szCs w:val="24"/>
          <w:lang w:val="fr-CI"/>
        </w:rPr>
        <w:t>La contrainte majeure de l’élevage au Burkina Faso demeure l’insuffisance spatio-temporelle des fourrages qui affecte la productivité du bétail. Dans le but d’améliorer la disponibilité fourragère, un essai de culture à double objectif a été conduit durant la campagne agricole 2020/2021 à la station de recherche de Kamboinsé dans la province Kadiogo. Elle a consisté à la mise en place d’une variété améliorée de Sorgho (Sariaso 16) et deux variétés améliorées de niébé (KVX 745-11-P et IS-5874), afin d’évaluer la production de grains et de fourrages. Par la suite des échantillons des fourrages ont été soumis à des analyses bromatologiques. Les résultats ont montré des rendements fourragers moyens allant de 3261 à 5587 kg/ha pour le sorgho Sariaso 16, de 1302 à 1114 kg/ha pour le niébé de variété KVX-745-11P et de 3231 kg/ha à 475 kg/ha pour le niébé de variété IS-5874, respectivement suivant le mode de culture en pure et en association. Quant à la production de grains, les rendements moyens ont varié de 2626 à 3819 kg/ha (Sariaso 16), de 650 à 278 kg/ha (KVX-745-11P) et de 1112 à 237 kg/ha (IS-5874). Par ailleurs, toutes les valeurs du LER (Land Equivalent Ratio), ont été supérieures à 1 (1,74 et 1,57 pour le fourrage ; 1,89 et 1,58 pour les grains), indiquant un effet positif de l’association culturale. La composition chimique montre des teneurs élevées en matières azotées totales des fourrages de niébé (19,2 et 20.8% respectivement pour KVX 745 11P et IS 5874, contre 7% pour le sorgho). Les rendements fourragers importants qui ont été obtenus dans cette étude montrent que ces cultures constituent un moyen efficace pour combler le déficit fourrager dont fait face les producteurs, ce qui leur permettra ainsi d’accroître la productivité de leurs animaux de même que leur revenu. L’association sorgho et niébé à double objectif, tout en optimisant la superficie cultivée contribue ainsi de façon efficace à l’intégration agriculture – élevage.</w:t>
      </w:r>
    </w:p>
    <w:p w:rsidR="007E7A30" w:rsidRPr="007E7A30" w:rsidRDefault="007E7A30" w:rsidP="007E7A30">
      <w:pPr>
        <w:pBdr>
          <w:bottom w:val="single" w:sz="4" w:space="1" w:color="auto"/>
        </w:pBdr>
        <w:spacing w:after="0" w:line="240" w:lineRule="auto"/>
        <w:jc w:val="both"/>
        <w:rPr>
          <w:rFonts w:ascii="Garamond" w:hAnsi="Garamond" w:cs="Times New Roman"/>
          <w:b/>
          <w:sz w:val="24"/>
          <w:szCs w:val="24"/>
          <w:lang w:val="fr-CI"/>
        </w:rPr>
      </w:pPr>
    </w:p>
    <w:p w:rsidR="007E7A30" w:rsidRPr="007E7A30" w:rsidRDefault="007E7A30" w:rsidP="007E7A30">
      <w:pPr>
        <w:pBdr>
          <w:bottom w:val="single" w:sz="4" w:space="1" w:color="auto"/>
        </w:pBdr>
        <w:spacing w:after="0" w:line="240" w:lineRule="auto"/>
        <w:jc w:val="both"/>
        <w:rPr>
          <w:rFonts w:ascii="Garamond" w:hAnsi="Garamond" w:cs="Times New Roman"/>
          <w:b/>
          <w:sz w:val="24"/>
          <w:szCs w:val="24"/>
          <w:lang w:val="fr-CI"/>
        </w:rPr>
      </w:pPr>
    </w:p>
    <w:p w:rsidR="007E7A30" w:rsidRPr="007E7A30" w:rsidRDefault="007E7A30" w:rsidP="007E7A30">
      <w:pPr>
        <w:pBdr>
          <w:bottom w:val="single" w:sz="4" w:space="1" w:color="auto"/>
        </w:pBdr>
        <w:spacing w:after="0" w:line="240" w:lineRule="auto"/>
        <w:jc w:val="both"/>
        <w:rPr>
          <w:rFonts w:ascii="Garamond" w:hAnsi="Garamond" w:cs="Times New Roman"/>
          <w:b/>
          <w:sz w:val="24"/>
          <w:szCs w:val="24"/>
          <w:lang w:val="fr-CI"/>
        </w:rPr>
      </w:pPr>
    </w:p>
    <w:p w:rsidR="007E7A30" w:rsidRPr="007E7A30" w:rsidRDefault="007E7A30" w:rsidP="007E7A30">
      <w:pPr>
        <w:pBdr>
          <w:bottom w:val="single" w:sz="4" w:space="1" w:color="auto"/>
        </w:pBdr>
        <w:spacing w:after="0" w:line="240" w:lineRule="auto"/>
        <w:jc w:val="both"/>
        <w:rPr>
          <w:rFonts w:ascii="Garamond" w:hAnsi="Garamond" w:cs="Times New Roman"/>
          <w:b/>
          <w:sz w:val="24"/>
          <w:szCs w:val="24"/>
          <w:lang w:val="fr-CI"/>
        </w:rPr>
      </w:pPr>
    </w:p>
    <w:p w:rsidR="007E7A30" w:rsidRPr="007E7A30" w:rsidRDefault="007E7A30" w:rsidP="007E7A30">
      <w:pPr>
        <w:pBdr>
          <w:bottom w:val="single" w:sz="4" w:space="1" w:color="auto"/>
        </w:pBdr>
        <w:spacing w:after="0" w:line="240" w:lineRule="auto"/>
        <w:jc w:val="both"/>
        <w:rPr>
          <w:rFonts w:ascii="Garamond" w:hAnsi="Garamond" w:cs="Times New Roman"/>
          <w:b/>
          <w:sz w:val="24"/>
          <w:szCs w:val="24"/>
          <w:lang w:val="fr-CI"/>
        </w:rPr>
      </w:pPr>
    </w:p>
    <w:p w:rsidR="007E7A30" w:rsidRPr="007E7A30" w:rsidRDefault="007E7A30" w:rsidP="007E7A30">
      <w:pPr>
        <w:pBdr>
          <w:bottom w:val="single" w:sz="4" w:space="1" w:color="auto"/>
        </w:pBdr>
        <w:spacing w:after="0" w:line="240" w:lineRule="auto"/>
        <w:jc w:val="both"/>
        <w:rPr>
          <w:rFonts w:ascii="Garamond" w:hAnsi="Garamond" w:cs="Times New Roman"/>
          <w:b/>
          <w:sz w:val="24"/>
          <w:szCs w:val="24"/>
          <w:lang w:val="fr-CI"/>
        </w:rPr>
      </w:pPr>
    </w:p>
    <w:p w:rsidR="007E7A30" w:rsidRPr="007E7A30" w:rsidRDefault="007E7A30" w:rsidP="007E7A30">
      <w:pPr>
        <w:pBdr>
          <w:bottom w:val="single" w:sz="4" w:space="1" w:color="auto"/>
        </w:pBdr>
        <w:spacing w:after="0" w:line="240" w:lineRule="auto"/>
        <w:rPr>
          <w:rFonts w:ascii="Garamond" w:hAnsi="Garamond" w:cs="Times New Roman"/>
          <w:b/>
          <w:sz w:val="24"/>
          <w:szCs w:val="24"/>
          <w:lang w:val="en-US"/>
        </w:rPr>
      </w:pPr>
      <w:r w:rsidRPr="007E7A30">
        <w:rPr>
          <w:rFonts w:ascii="Garamond" w:hAnsi="Garamond" w:cs="Times New Roman"/>
          <w:b/>
          <w:sz w:val="24"/>
          <w:szCs w:val="24"/>
          <w:lang w:val="en-US"/>
        </w:rPr>
        <w:lastRenderedPageBreak/>
        <w:t>ABSTRACT</w:t>
      </w:r>
    </w:p>
    <w:p w:rsidR="007E7A30" w:rsidRPr="007E7A30" w:rsidRDefault="007E7A30" w:rsidP="007E7A30">
      <w:pPr>
        <w:pBdr>
          <w:bottom w:val="single" w:sz="4" w:space="1" w:color="auto"/>
        </w:pBdr>
        <w:spacing w:after="0" w:line="240" w:lineRule="auto"/>
        <w:jc w:val="both"/>
        <w:rPr>
          <w:rFonts w:ascii="Garamond" w:hAnsi="Garamond" w:cs="Times New Roman"/>
          <w:b/>
          <w:sz w:val="24"/>
          <w:szCs w:val="24"/>
          <w:lang w:val="en-US"/>
        </w:rPr>
      </w:pPr>
      <w:r w:rsidRPr="007E7A30">
        <w:rPr>
          <w:rFonts w:ascii="Garamond" w:hAnsi="Garamond" w:cs="Times New Roman"/>
          <w:b/>
          <w:sz w:val="24"/>
          <w:szCs w:val="24"/>
          <w:lang w:val="en-US"/>
        </w:rPr>
        <w:t>Improvement of forage availability through different cropping patterns of dual purpose sorghum and cowpea</w:t>
      </w:r>
    </w:p>
    <w:p w:rsidR="007E7A30" w:rsidRPr="007E7A30" w:rsidRDefault="007E7A30" w:rsidP="007E7A30">
      <w:pPr>
        <w:pBdr>
          <w:bottom w:val="single" w:sz="4" w:space="1" w:color="auto"/>
        </w:pBdr>
        <w:spacing w:after="0" w:line="240" w:lineRule="auto"/>
        <w:jc w:val="both"/>
        <w:rPr>
          <w:rFonts w:ascii="Garamond" w:hAnsi="Garamond" w:cs="Times New Roman"/>
          <w:b/>
          <w:sz w:val="24"/>
          <w:szCs w:val="24"/>
          <w:lang w:val="en-US"/>
        </w:rPr>
      </w:pPr>
      <w:r w:rsidRPr="007E7A30">
        <w:rPr>
          <w:rFonts w:ascii="Garamond" w:hAnsi="Garamond" w:cs="Times New Roman"/>
          <w:b/>
          <w:sz w:val="24"/>
          <w:szCs w:val="24"/>
          <w:lang w:val="en-US"/>
        </w:rPr>
        <w:t xml:space="preserve">The major constraint of livestock production in Burkina Faso remains the spatio-temporal insufficiency of fodder, which affects the productivity of livestock. In order to improve fodder availability, a dual purpose crop trial was conducted during the 2020/2021 cropping season at the Kamboinsé research station in Kadiogo province. It consisted of the establishment of an improved variety of Sorghum (Sariaso 16), and two improved varieties of cowpea (KVX 745-11-P and IS-5874), in order to evaluate grain and forage production. Subsequently, samples of the forages were subjected to bromatological analysis. Results showed average forage yields ranging from 3261 to 5587 kg/ha for Sariaso 16 sorghum, 1302 to 1114 kg/ha for KVX-745-11P cowpea, and 3231 kg/ha to 475 kg/ha for IS-5874 cowpea, respectively, depending on the cropping pattern of pure and mixed cropping. For grain production, average yields ranged from 2626 to 3819 kg/ha (Sariaso 16), 650 to 278 kg/ha (KVX-745-11P) and 1112 to 237 kg/ha (IS-5874). In addition, all LER (Land Equivalent Ratio) values, were greater than 1 (1.74 and 1.57 for forage; 1.89 and 1.58 for grain), indicating a positive effect of the crop association. Chemical composition showed high total nitrogen content in cowpea forages (19.2 and 20.8% for KVX 745 11P and IS 5874, respectively, compared to 7% for sorghum). The significant fodder yields obtained in this study show that these crops are an effective way to fill the fodder deficit faced by farmers, which will allow them to increase the productivity of their animals as well as their income. The combination of dual purpose sorghum and cowpea, while optimizing the cultivated area, contribute thus effectively to the integration of agriculture and livestock. </w:t>
      </w:r>
    </w:p>
    <w:p w:rsidR="001D4E73" w:rsidRPr="007E7A30" w:rsidRDefault="00535B85">
      <w:pPr>
        <w:rPr>
          <w:lang w:val="en-US"/>
        </w:rPr>
      </w:pPr>
      <w:bookmarkStart w:id="0" w:name="_GoBack"/>
      <w:bookmarkEnd w:id="0"/>
    </w:p>
    <w:sectPr w:rsidR="001D4E73" w:rsidRPr="007E7A30">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B85" w:rsidRDefault="00535B85" w:rsidP="007E7A30">
      <w:pPr>
        <w:spacing w:after="0" w:line="240" w:lineRule="auto"/>
      </w:pPr>
      <w:r>
        <w:separator/>
      </w:r>
    </w:p>
  </w:endnote>
  <w:endnote w:type="continuationSeparator" w:id="0">
    <w:p w:rsidR="00535B85" w:rsidRDefault="00535B85" w:rsidP="007E7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B85" w:rsidRDefault="00535B85" w:rsidP="007E7A30">
      <w:pPr>
        <w:spacing w:after="0" w:line="240" w:lineRule="auto"/>
      </w:pPr>
      <w:r>
        <w:separator/>
      </w:r>
    </w:p>
  </w:footnote>
  <w:footnote w:type="continuationSeparator" w:id="0">
    <w:p w:rsidR="00535B85" w:rsidRDefault="00535B85" w:rsidP="007E7A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A30" w:rsidRPr="007E7A30" w:rsidRDefault="007E7A30" w:rsidP="007E7A30">
    <w:pPr>
      <w:pBdr>
        <w:top w:val="single" w:sz="4" w:space="0" w:color="C00000"/>
        <w:bottom w:val="single" w:sz="4" w:space="8" w:color="C00000"/>
      </w:pBdr>
      <w:shd w:val="clear" w:color="auto" w:fill="CCFFFF"/>
      <w:spacing w:after="0" w:line="240" w:lineRule="auto"/>
      <w:rPr>
        <w:rFonts w:ascii="Calibri" w:eastAsia="Arial Unicode MS" w:hAnsi="Calibri"/>
        <w:b/>
        <w:i/>
        <w:noProof/>
        <w:sz w:val="20"/>
        <w:szCs w:val="20"/>
        <w:lang w:val="en-ZA" w:eastAsia="fr-FR"/>
      </w:rPr>
    </w:pPr>
    <w:r>
      <w:rPr>
        <w:noProof/>
        <w:lang/>
      </w:rPr>
      <w:drawing>
        <wp:anchor distT="0" distB="0" distL="114300" distR="114300" simplePos="0" relativeHeight="251659264" behindDoc="0" locked="0" layoutInCell="1" allowOverlap="1">
          <wp:simplePos x="0" y="0"/>
          <wp:positionH relativeFrom="margin">
            <wp:posOffset>5535930</wp:posOffset>
          </wp:positionH>
          <wp:positionV relativeFrom="paragraph">
            <wp:posOffset>-6350</wp:posOffset>
          </wp:positionV>
          <wp:extent cx="422910" cy="450215"/>
          <wp:effectExtent l="19050" t="19050" r="15240" b="26035"/>
          <wp:wrapNone/>
          <wp:docPr id="1" name="Picture 1" descr="JAPS-cover-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PS-cover-page.png"/>
                  <pic:cNvPicPr>
                    <a:picLocks noChangeAspect="1" noChangeArrowheads="1"/>
                  </pic:cNvPicPr>
                </pic:nvPicPr>
                <pic:blipFill>
                  <a:blip r:embed="rId1">
                    <a:lum bright="-10000" contrast="20000"/>
                    <a:extLst>
                      <a:ext uri="{28A0092B-C50C-407E-A947-70E740481C1C}">
                        <a14:useLocalDpi xmlns:a14="http://schemas.microsoft.com/office/drawing/2010/main" val="0"/>
                      </a:ext>
                    </a:extLst>
                  </a:blip>
                  <a:srcRect/>
                  <a:stretch>
                    <a:fillRect/>
                  </a:stretch>
                </pic:blipFill>
                <pic:spPr bwMode="auto">
                  <a:xfrm>
                    <a:off x="0" y="0"/>
                    <a:ext cx="422910" cy="450215"/>
                  </a:xfrm>
                  <a:prstGeom prst="rect">
                    <a:avLst/>
                  </a:prstGeom>
                  <a:solidFill>
                    <a:srgbClr val="DDD9C3"/>
                  </a:solidFill>
                  <a:ln w="9525">
                    <a:solidFill>
                      <a:srgbClr val="C00000"/>
                    </a:solidFill>
                    <a:miter lim="800000"/>
                    <a:headEnd/>
                    <a:tailEnd/>
                  </a:ln>
                </pic:spPr>
              </pic:pic>
            </a:graphicData>
          </a:graphic>
          <wp14:sizeRelH relativeFrom="page">
            <wp14:pctWidth>0</wp14:pctWidth>
          </wp14:sizeRelH>
          <wp14:sizeRelV relativeFrom="page">
            <wp14:pctHeight>0</wp14:pctHeight>
          </wp14:sizeRelV>
        </wp:anchor>
      </w:drawing>
    </w:r>
    <w:r w:rsidRPr="007E7A30">
      <w:rPr>
        <w:rFonts w:ascii="Calibri" w:eastAsia="Calibri" w:hAnsi="Calibri"/>
        <w:b/>
        <w:bCs/>
        <w:i/>
        <w:noProof/>
        <w:sz w:val="20"/>
        <w:szCs w:val="20"/>
        <w:lang w:val="fr-FR" w:eastAsia="en-ZA"/>
      </w:rPr>
      <w:t>Toe et al</w:t>
    </w:r>
    <w:r w:rsidRPr="007E7A30">
      <w:rPr>
        <w:rFonts w:ascii="Calibri" w:eastAsia="Calibri" w:hAnsi="Calibri"/>
        <w:b/>
        <w:bCs/>
        <w:iCs/>
        <w:noProof/>
        <w:sz w:val="20"/>
        <w:szCs w:val="20"/>
        <w:lang w:val="fr-FR" w:eastAsia="en-ZA"/>
      </w:rPr>
      <w:t xml:space="preserve">., </w:t>
    </w:r>
    <w:r w:rsidRPr="007E7A30">
      <w:rPr>
        <w:rFonts w:ascii="Calibri" w:eastAsia="Arial Unicode MS" w:hAnsi="Calibri"/>
        <w:b/>
        <w:i/>
        <w:noProof/>
        <w:sz w:val="20"/>
        <w:szCs w:val="20"/>
        <w:lang w:val="fr-FR" w:eastAsia="fr-FR"/>
      </w:rPr>
      <w:t xml:space="preserve"> 2022                                 Journal of Animal &amp; Plant Sciences (J.Anim.Plant Sci.</w:t>
    </w:r>
    <w:r w:rsidRPr="007E7A30">
      <w:rPr>
        <w:rFonts w:ascii="Garamond" w:eastAsia="Arial Unicode MS" w:hAnsi="Garamond"/>
        <w:b/>
        <w:noProof/>
        <w:sz w:val="20"/>
        <w:szCs w:val="20"/>
        <w:lang w:val="fr-FR" w:eastAsia="fr-FR"/>
      </w:rPr>
      <w:t xml:space="preserve"> </w:t>
    </w:r>
    <w:r w:rsidRPr="007E7A30">
      <w:rPr>
        <w:rFonts w:ascii="Calibri" w:eastAsia="Arial Unicode MS" w:hAnsi="Calibri"/>
        <w:b/>
        <w:i/>
        <w:noProof/>
        <w:sz w:val="20"/>
        <w:szCs w:val="20"/>
        <w:lang w:val="en-ZA" w:eastAsia="fr-FR"/>
      </w:rPr>
      <w:t>ISSN 2071-7024)</w:t>
    </w:r>
  </w:p>
  <w:p w:rsidR="007E7A30" w:rsidRPr="007E7A30" w:rsidRDefault="007E7A30" w:rsidP="007E7A30">
    <w:pPr>
      <w:pBdr>
        <w:top w:val="single" w:sz="4" w:space="0" w:color="C00000"/>
        <w:bottom w:val="single" w:sz="4" w:space="8" w:color="C00000"/>
      </w:pBdr>
      <w:shd w:val="clear" w:color="auto" w:fill="CCFFFF"/>
      <w:spacing w:after="0" w:line="240" w:lineRule="auto"/>
      <w:rPr>
        <w:rFonts w:ascii="Calibri" w:eastAsia="Arial Unicode MS" w:hAnsi="Calibri"/>
        <w:b/>
        <w:i/>
        <w:noProof/>
        <w:sz w:val="20"/>
        <w:szCs w:val="20"/>
        <w:lang w:val="x-none" w:eastAsia="fr-FR"/>
      </w:rPr>
    </w:pPr>
    <w:r w:rsidRPr="007E7A30">
      <w:rPr>
        <w:rFonts w:ascii="Calibri" w:eastAsia="Arial Unicode MS" w:hAnsi="Calibri"/>
        <w:b/>
        <w:i/>
        <w:noProof/>
        <w:sz w:val="20"/>
        <w:szCs w:val="20"/>
        <w:lang w:val="en-ZA" w:eastAsia="fr-FR"/>
      </w:rPr>
      <w:t xml:space="preserve">                                                              Vol.54 (1) : 9808-9821    </w:t>
    </w:r>
    <w:r w:rsidRPr="007E7A30">
      <w:rPr>
        <w:rFonts w:ascii="Calibri" w:eastAsia="Arial Unicode MS" w:hAnsi="Calibri"/>
        <w:b/>
        <w:i/>
        <w:noProof/>
        <w:sz w:val="20"/>
        <w:szCs w:val="20"/>
        <w:lang w:val="en-ZA" w:eastAsia="en-ZA"/>
      </w:rPr>
      <w:t xml:space="preserve">  </w:t>
    </w:r>
    <w:hyperlink r:id="rId2" w:history="1">
      <w:r w:rsidRPr="007E7A30">
        <w:rPr>
          <w:rFonts w:ascii="Calibri" w:hAnsi="Calibri"/>
          <w:b/>
          <w:i/>
          <w:noProof/>
          <w:color w:val="0563C1"/>
          <w:sz w:val="20"/>
          <w:szCs w:val="20"/>
          <w:u w:val="single"/>
          <w:lang w:val="en-ZA" w:eastAsia="en-ZA"/>
        </w:rPr>
        <w:t>https://doi.org/10.35759/JAnmPlSci.v54-1.</w:t>
      </w:r>
    </w:hyperlink>
    <w:r w:rsidRPr="007E7A30">
      <w:rPr>
        <w:rFonts w:ascii="Calibri" w:hAnsi="Calibri"/>
        <w:b/>
        <w:i/>
        <w:noProof/>
        <w:color w:val="0563C1"/>
        <w:sz w:val="20"/>
        <w:szCs w:val="20"/>
        <w:u w:val="single"/>
        <w:lang w:val="en-ZA" w:eastAsia="en-ZA"/>
      </w:rPr>
      <w:t>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A30"/>
    <w:rsid w:val="00535B85"/>
    <w:rsid w:val="007E7A30"/>
    <w:rsid w:val="00D1241F"/>
    <w:rsid w:val="00D220A0"/>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5F5981C-0B3F-43A6-A5AC-DF946F18E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Arial"/>
        <w:lan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rsid w:val="007E7A30"/>
    <w:pPr>
      <w:widowControl w:val="0"/>
      <w:spacing w:after="0" w:line="240" w:lineRule="auto"/>
    </w:pPr>
    <w:rPr>
      <w:rFonts w:ascii="Times" w:hAnsi="Times" w:cs="Times"/>
      <w:sz w:val="20"/>
      <w:szCs w:val="20"/>
      <w:lang w:val="fr-FR" w:eastAsia="fr-FR"/>
    </w:rPr>
  </w:style>
  <w:style w:type="character" w:customStyle="1" w:styleId="CommentTextChar">
    <w:name w:val="Comment Text Char"/>
    <w:basedOn w:val="DefaultParagraphFont"/>
    <w:link w:val="CommentText"/>
    <w:rsid w:val="007E7A30"/>
    <w:rPr>
      <w:rFonts w:ascii="Times" w:hAnsi="Times" w:cs="Times"/>
      <w:lang w:val="fr-FR" w:eastAsia="fr-FR"/>
    </w:rPr>
  </w:style>
  <w:style w:type="character" w:styleId="Hyperlink">
    <w:name w:val="Hyperlink"/>
    <w:uiPriority w:val="99"/>
    <w:unhideWhenUsed/>
    <w:rsid w:val="007E7A30"/>
    <w:rPr>
      <w:color w:val="0563C1"/>
      <w:u w:val="single"/>
    </w:rPr>
  </w:style>
  <w:style w:type="paragraph" w:styleId="Header">
    <w:name w:val="header"/>
    <w:basedOn w:val="Normal"/>
    <w:link w:val="HeaderChar"/>
    <w:uiPriority w:val="99"/>
    <w:unhideWhenUsed/>
    <w:rsid w:val="007E7A30"/>
    <w:pPr>
      <w:tabs>
        <w:tab w:val="center" w:pos="4680"/>
        <w:tab w:val="right" w:pos="9360"/>
      </w:tabs>
    </w:pPr>
  </w:style>
  <w:style w:type="character" w:customStyle="1" w:styleId="HeaderChar">
    <w:name w:val="Header Char"/>
    <w:basedOn w:val="DefaultParagraphFont"/>
    <w:link w:val="Header"/>
    <w:uiPriority w:val="99"/>
    <w:rsid w:val="007E7A30"/>
    <w:rPr>
      <w:sz w:val="22"/>
      <w:szCs w:val="22"/>
      <w:lang w:eastAsia="en-US"/>
    </w:rPr>
  </w:style>
  <w:style w:type="paragraph" w:styleId="Footer">
    <w:name w:val="footer"/>
    <w:basedOn w:val="Normal"/>
    <w:link w:val="FooterChar"/>
    <w:uiPriority w:val="99"/>
    <w:unhideWhenUsed/>
    <w:rsid w:val="007E7A30"/>
    <w:pPr>
      <w:tabs>
        <w:tab w:val="center" w:pos="4680"/>
        <w:tab w:val="right" w:pos="9360"/>
      </w:tabs>
    </w:pPr>
  </w:style>
  <w:style w:type="character" w:customStyle="1" w:styleId="FooterChar">
    <w:name w:val="Footer Char"/>
    <w:basedOn w:val="DefaultParagraphFont"/>
    <w:link w:val="Footer"/>
    <w:uiPriority w:val="99"/>
    <w:rsid w:val="007E7A3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m.elewa.org/Journals/about-jap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bout:blan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doi.org/10.35759/JAnmPlSci.v54-1."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708</Words>
  <Characters>4038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2022-10-28T10:38:00Z</dcterms:created>
  <dcterms:modified xsi:type="dcterms:W3CDTF">2022-10-28T10:40:00Z</dcterms:modified>
</cp:coreProperties>
</file>